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0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20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[standard] insurance cover from the Framework Start Date in accordance with this Schedule:</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professional indemnity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one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million pounds (£1,000,000); </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public liability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one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million pounds (£1,000,000); and</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vertAlign w:val="baseline"/>
        </w:rPr>
      </w:pPr>
      <w:bookmarkStart w:colFirst="0" w:colLast="0" w:name="_heading=h.3znysh7" w:id="2"/>
      <w:bookmarkEnd w:id="2"/>
      <w:r w:rsidDel="00000000" w:rsidR="00000000" w:rsidRPr="00000000">
        <w:rPr>
          <w:rFonts w:ascii="Arial" w:cs="Arial" w:eastAsia="Arial" w:hAnsi="Arial"/>
          <w:b w:val="0"/>
          <w:i w:val="0"/>
          <w:smallCaps w:val="0"/>
          <w:strike w:val="0"/>
          <w:color w:val="000000"/>
          <w:sz w:val="24"/>
          <w:szCs w:val="24"/>
          <w:u w:val="none"/>
          <w:vertAlign w:val="baseline"/>
          <w:rtl w:val="0"/>
        </w:rPr>
        <w:t xml:space="preserve">employers’ liability insurance [with cover (for a single event or a series of related events and in the aggregate) of not less than] ten million pounds (£10,000,000).</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D">
    <w:pP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F">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RM6273 Employee Benefits and Services</w:t>
      <w:tab/>
      <w:t xml:space="preserve">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2">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highlight w:val="white"/>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28"/>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pPr>
      <w:numPr>
        <w:numId w:val="28"/>
      </w:numPr>
    </w:p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NKOZdLnA1JWmoByFm7Sb7OqGEWg==">AMUW2mUJUOHa+iqtIqpRYQpp3WyVanqChYIewLUzUrwC5H2vZHpUVkXKjZ45SSahd++VhG0z8Jm8M1H2D9+SWJTBGMYeDfMPGDQoucmyL8KKgI3gVLqAWQ+eSnel6adyAxpxrZa1Pc49QODnCEaLNgPeVGFeqft8PQ==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2018-06-22T14:55:00Z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